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5" w:rsidRPr="000D0155" w:rsidRDefault="000D0155" w:rsidP="000D0155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</w:pPr>
      <w:r w:rsidRPr="000D0155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Психологическая игра «Луна»</w:t>
      </w:r>
    </w:p>
    <w:p w:rsidR="000D0155" w:rsidRPr="000D0155" w:rsidRDefault="000D0155" w:rsidP="000D015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 участникам:</w:t>
      </w:r>
    </w:p>
    <w:p w:rsid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 корабль потерпел кораблекрушение на Луне, на темной ее стороне. Согласно плану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должны встретиться со станцией,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которая находится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расстоянии 300 км от этого места на освещенной стороне Луны. Все уничтожено, кроме предметов, список кот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орых есть у вас на листках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0D0155" w:rsidTr="00F7417F">
        <w:trPr>
          <w:trHeight w:val="315"/>
        </w:trPr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коробок спичек</w:t>
            </w:r>
            <w:r w:rsidRPr="000D0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звездная кар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 лунного небосклона</w:t>
            </w:r>
          </w:p>
        </w:tc>
      </w:tr>
      <w:tr w:rsidR="000D0155" w:rsidTr="00F7417F">
        <w:trPr>
          <w:trHeight w:val="406"/>
        </w:trPr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пищевые концентраты</w:t>
            </w:r>
          </w:p>
        </w:tc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адувающаяся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спасательная лодка</w:t>
            </w:r>
          </w:p>
        </w:tc>
      </w:tr>
      <w:tr w:rsidR="000D0155" w:rsidTr="00F7417F">
        <w:trPr>
          <w:trHeight w:val="411"/>
        </w:trPr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 нейлонового шнура</w:t>
            </w:r>
          </w:p>
        </w:tc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магнитный компас</w:t>
            </w:r>
          </w:p>
        </w:tc>
      </w:tr>
      <w:tr w:rsidR="000D0155" w:rsidTr="00F7417F">
        <w:trPr>
          <w:trHeight w:val="275"/>
        </w:trPr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шелковый купол парашюта</w:t>
            </w:r>
          </w:p>
        </w:tc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л воды</w:t>
            </w:r>
          </w:p>
        </w:tc>
      </w:tr>
      <w:tr w:rsidR="000D0155" w:rsidTr="00F7417F">
        <w:trPr>
          <w:trHeight w:val="318"/>
        </w:trPr>
        <w:tc>
          <w:tcPr>
            <w:tcW w:w="5069" w:type="dxa"/>
          </w:tcPr>
          <w:p w:rsidR="000D0155" w:rsidRDefault="00AF382D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коробка сухого молока</w:t>
            </w:r>
          </w:p>
        </w:tc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сигнальные ракеты</w:t>
            </w:r>
          </w:p>
        </w:tc>
      </w:tr>
      <w:tr w:rsidR="000D0155" w:rsidTr="00F7417F">
        <w:trPr>
          <w:trHeight w:val="557"/>
        </w:trPr>
        <w:tc>
          <w:tcPr>
            <w:tcW w:w="5069" w:type="dxa"/>
          </w:tcPr>
          <w:p w:rsidR="000D0155" w:rsidRDefault="00AF382D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переносной обог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реватель на солнечных батареях</w:t>
            </w:r>
          </w:p>
        </w:tc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аптечка первой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помощи с инъекционными иглами</w:t>
            </w:r>
          </w:p>
        </w:tc>
      </w:tr>
      <w:tr w:rsidR="000D0155" w:rsidTr="00F7417F">
        <w:trPr>
          <w:trHeight w:val="599"/>
        </w:trPr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два баллона с кислородом до 50 </w:t>
            </w:r>
            <w:proofErr w:type="spellStart"/>
            <w:r w:rsidRPr="000D0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лг</w:t>
            </w:r>
            <w:proofErr w:type="spellEnd"/>
          </w:p>
        </w:tc>
        <w:tc>
          <w:tcPr>
            <w:tcW w:w="5069" w:type="dxa"/>
          </w:tcPr>
          <w:p w:rsidR="000D0155" w:rsidRDefault="000D0155" w:rsidP="00AF382D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приемопередатчик с частотной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одуляцией на солнечных батареях</w:t>
            </w:r>
          </w:p>
        </w:tc>
      </w:tr>
    </w:tbl>
    <w:p w:rsid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Жизнь экипажа зависит от того, сможет ли он добраться до станции. Вашей задачей является выбор наиболее необходимых предметов для преодоления пути в 300 км. Вы должны перечислить 14 предметов в соответствии с их значением для сохранения 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ашей жизни.</w:t>
      </w:r>
    </w:p>
    <w:p w:rsid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Номером 1 обозначьте наиболее важный предмет, который возьмете в первую очередь, номером 2 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второй по значению и так далее до 14 наименее важного для 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 предмета. Работать необходимо самостоятельно. Время для выпол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нения задания 5 минут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382D" w:rsidRPr="000D0155" w:rsidRDefault="00AF382D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Для лучшей организации игры, для повышения активности и заинтересованности ее участников, можно ввес</w:t>
      </w:r>
      <w:r w:rsidRPr="00AF382D">
        <w:rPr>
          <w:rFonts w:ascii="Arial" w:eastAsia="Times New Roman" w:hAnsi="Arial" w:cs="Arial"/>
          <w:color w:val="000000"/>
          <w:szCs w:val="24"/>
          <w:lang w:eastAsia="ru-RU"/>
        </w:rPr>
        <w:t xml:space="preserve">ти элемент </w:t>
      </w:r>
      <w:proofErr w:type="spellStart"/>
      <w:r w:rsidRPr="00AF382D">
        <w:rPr>
          <w:rFonts w:ascii="Arial" w:eastAsia="Times New Roman" w:hAnsi="Arial" w:cs="Arial"/>
          <w:color w:val="000000"/>
          <w:szCs w:val="24"/>
          <w:lang w:eastAsia="ru-RU"/>
        </w:rPr>
        <w:t>соревновательности</w:t>
      </w:r>
      <w:proofErr w:type="spellEnd"/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1) приз победившей команде, который ждет ее на станции,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2) начисление дополнительного очка за быструю работу (команде первой выполнившей задание). Сумма этих очков отнимается затем от групповой ошибки, улучшая общий результат команды.</w:t>
      </w:r>
    </w:p>
    <w:p w:rsid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3) начисление штрафного очка за шум, </w:t>
      </w:r>
      <w:proofErr w:type="spellStart"/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неорганизованость</w:t>
      </w:r>
      <w:proofErr w:type="spellEnd"/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, невнимание при выполнении задания. Сумма этих очков 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суммируется с групповой ошибкой, делая общий результат команды хуже.</w:t>
      </w: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Все участники проставляют номера в графе 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«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Индивидуальное решение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протокола.</w:t>
      </w:r>
      <w:r w:rsidR="00AF382D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После того, как все участники выполнят задание, 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формир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уйте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экипажи по 4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–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6 человек.</w:t>
      </w:r>
    </w:p>
    <w:p w:rsidR="00AF382D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а) Для этого заранее 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под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готов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ьте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карточки с номерами экипажей. Карточки перемеш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айте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и 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 xml:space="preserve">попросите 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кажд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ого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участник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, не глядя, 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взя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одну из карточек с номером экипажа.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б) Группы можно сформировать по желанию ребят. Экипажи могут взять себе названия.</w:t>
      </w:r>
    </w:p>
    <w:p w:rsidR="00AF382D" w:rsidRPr="000D0155" w:rsidRDefault="00AF382D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Продолжение инс</w:t>
      </w:r>
      <w:r w:rsidR="00AF38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 w:rsidRPr="000D0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рукции участникам:</w:t>
      </w:r>
    </w:p>
    <w:p w:rsidR="000D0155" w:rsidRDefault="00AF382D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D0155"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D0155"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будете работать не отдельно друг от друга, а как единое целое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D0155"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экипаж.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0155"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вместе обсудите и решите, как дойти до станции. Ваша задача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D0155"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выработать такое совместное решение этого вопроса, которое удовлетворит всех членов экипажа.</w:t>
      </w: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Достичь согласия трудно, поэтому не каждая оценка будет получать полное одобрение всех участников. Группа старается каждую общую оценку дать так, чтобы все члены группы могли с ней согласиться хотя бы отчасти. Используйте следующие рекомендации для достижения согласия:</w:t>
      </w: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защища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 индивидуальные суждения, 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подходите к задаче логически;</w:t>
      </w: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старайтесь не 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менять свое мнение только ради достижения согласия, не 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уклоняйтесь от конфликта; п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оддерживайте только те решения, с которыми 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можете согласиться хотя б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отчасти;</w:t>
      </w: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пытайтесь 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ить»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конфликт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компромисс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а;</w:t>
      </w: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воспринимайте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различие мнений как помощь, а не как помеху при принятии решений.</w:t>
      </w:r>
    </w:p>
    <w:p w:rsid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предметов, в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зависимости от значимости, зане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сите в графу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Групповая оценка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протокола. У всех членов экипажа записи в этой графе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 одинаковыми. На это задание дается 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минут</w:t>
      </w:r>
      <w:r w:rsidR="00AF3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382D" w:rsidRDefault="00AF382D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0155" w:rsidRPr="000D0155" w:rsidRDefault="00AF382D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F382D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="000D0155" w:rsidRPr="000D0155">
        <w:rPr>
          <w:rFonts w:ascii="Arial" w:eastAsia="Times New Roman" w:hAnsi="Arial" w:cs="Arial"/>
          <w:color w:val="000000"/>
          <w:szCs w:val="24"/>
          <w:lang w:eastAsia="ru-RU"/>
        </w:rPr>
        <w:t>аблюд</w:t>
      </w:r>
      <w:r w:rsidRPr="00AF382D">
        <w:rPr>
          <w:rFonts w:ascii="Arial" w:eastAsia="Times New Roman" w:hAnsi="Arial" w:cs="Arial"/>
          <w:color w:val="000000"/>
          <w:szCs w:val="24"/>
          <w:lang w:eastAsia="ru-RU"/>
        </w:rPr>
        <w:t>айте</w:t>
      </w:r>
      <w:r w:rsidR="000D0155"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за работой группы,</w:t>
      </w:r>
      <w:r w:rsidRPr="00AF382D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0D0155" w:rsidRPr="000D0155">
        <w:rPr>
          <w:rFonts w:ascii="Arial" w:eastAsia="Times New Roman" w:hAnsi="Arial" w:cs="Arial"/>
          <w:color w:val="000000"/>
          <w:szCs w:val="24"/>
          <w:lang w:eastAsia="ru-RU"/>
        </w:rPr>
        <w:t>ориентиру</w:t>
      </w:r>
      <w:r w:rsidRPr="00AF382D">
        <w:rPr>
          <w:rFonts w:ascii="Arial" w:eastAsia="Times New Roman" w:hAnsi="Arial" w:cs="Arial"/>
          <w:color w:val="000000"/>
          <w:szCs w:val="24"/>
          <w:lang w:eastAsia="ru-RU"/>
        </w:rPr>
        <w:t>йтесь</w:t>
      </w:r>
      <w:r w:rsidR="000D0155"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на следующие моменты: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1) как происходит разбивка на группы;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2) как осуществляется работа в группах: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а) какие виды поведения помогают или мешают процессу достижения согласия?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б) вырабатывают ли участники какие-то правила для совместного принятия решения или действуют стихийно?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в) кто участвует в процессе выработки решения, а кто нет?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г) кто и как оказывает влияние на процесс принятия решения? один или два лидера?</w:t>
      </w:r>
    </w:p>
    <w:p w:rsidR="000D0155" w:rsidRPr="00AF382D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proofErr w:type="spellEnd"/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) какова атмосфера в группе во время дискуссии?</w:t>
      </w: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е) какие действия предпринимают участники группы для 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«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протаскивания</w:t>
      </w:r>
      <w:r w:rsidR="00AF382D" w:rsidRPr="00AF382D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 xml:space="preserve"> своих мнений?</w:t>
      </w:r>
    </w:p>
    <w:p w:rsidR="000D0155" w:rsidRPr="000D0155" w:rsidRDefault="000D0155" w:rsidP="000D015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Cs w:val="24"/>
          <w:lang w:eastAsia="ru-RU"/>
        </w:rPr>
        <w:t>Процесс принятия совместного решения можно обсудить в конце игры при подведении итогов.</w:t>
      </w:r>
    </w:p>
    <w:p w:rsidR="00AF382D" w:rsidRDefault="00AF382D" w:rsidP="000D015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DA6" w:rsidRDefault="00646DA6" w:rsidP="000D015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0155" w:rsidRPr="00AF382D" w:rsidRDefault="00AF382D" w:rsidP="000D015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38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Продолжение инструкции</w:t>
      </w:r>
      <w:r w:rsidR="00646DA6" w:rsidRPr="00646D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46DA6" w:rsidRPr="000D0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участникам</w:t>
      </w:r>
      <w:r w:rsidRPr="00AF38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0D0155" w:rsidRDefault="00AF382D" w:rsidP="00AF382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D0155"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 время наладилась связь с Центром управления полетом. На Земле, узнав об аварии на корабле, собралась комиссия компетентных экспертов, которая выработала наиболее верное решение данной проблемы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D0155"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дойти до станции. Вам передано решение Центра управ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полетом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46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382D" w:rsidRDefault="00AF382D" w:rsidP="00AF382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0155" w:rsidRPr="00646DA6" w:rsidRDefault="00AF382D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="000D0155" w:rsidRPr="00646DA6">
        <w:rPr>
          <w:rFonts w:ascii="Arial" w:eastAsia="Times New Roman" w:hAnsi="Arial" w:cs="Arial"/>
          <w:color w:val="000000"/>
          <w:szCs w:val="24"/>
          <w:lang w:eastAsia="ru-RU"/>
        </w:rPr>
        <w:t>ачит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айте решение Центра, а участники должны его записать в графу </w:t>
      </w:r>
      <w:r w:rsidR="000D0155"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протокола 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«</w:t>
      </w:r>
      <w:r w:rsidR="000D0155" w:rsidRPr="00646DA6">
        <w:rPr>
          <w:rFonts w:ascii="Arial" w:eastAsia="Times New Roman" w:hAnsi="Arial" w:cs="Arial"/>
          <w:color w:val="000000"/>
          <w:szCs w:val="24"/>
          <w:lang w:eastAsia="ru-RU"/>
        </w:rPr>
        <w:t>Решение Центра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="000D0155" w:rsidRPr="00646DA6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0D0155" w:rsidRPr="00646DA6">
        <w:rPr>
          <w:rFonts w:ascii="Arial" w:eastAsia="Times New Roman" w:hAnsi="Arial" w:cs="Arial"/>
          <w:color w:val="000000"/>
          <w:szCs w:val="24"/>
          <w:lang w:eastAsia="ru-RU"/>
        </w:rPr>
        <w:t>Далее решение Центра сравни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те</w:t>
      </w:r>
      <w:r w:rsidR="000D0155"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с индивидуальным и групповым решениями. Все уч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астники подсчитывают показатели.</w:t>
      </w:r>
    </w:p>
    <w:p w:rsidR="000D0155" w:rsidRPr="00646DA6" w:rsidRDefault="000D0155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1.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«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Индивидуальная ошибка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»: с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равнива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ют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индивидуальн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ую оценку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по каждому предмету с оценкой Центра управления полетом. 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Подростки берут 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абсолютн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ую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величин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без учета знака, и записыва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ю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т в соответствующей колонке.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Счита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ю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т 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«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суммарн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ую индивидуальную ошибку»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по всем предметам. Чем она меньше, тем лучше.</w:t>
      </w:r>
    </w:p>
    <w:p w:rsidR="000D0155" w:rsidRPr="00646DA6" w:rsidRDefault="000D0155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2.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«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Групповая ошибка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Подростки 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сравн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ивают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групповы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оценк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с оценками Центра. Подсчитыва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ю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т 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«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суммарн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ую групповую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 xml:space="preserve"> ошибк</w:t>
      </w:r>
      <w:r w:rsidR="00646DA6" w:rsidRPr="00646DA6">
        <w:rPr>
          <w:rFonts w:ascii="Arial" w:eastAsia="Times New Roman" w:hAnsi="Arial" w:cs="Arial"/>
          <w:color w:val="000000"/>
          <w:szCs w:val="24"/>
          <w:lang w:eastAsia="ru-RU"/>
        </w:rPr>
        <w:t>у»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0D0155" w:rsidRDefault="00646DA6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="000D0155" w:rsidRPr="00646DA6">
        <w:rPr>
          <w:rFonts w:ascii="Arial" w:eastAsia="Times New Roman" w:hAnsi="Arial" w:cs="Arial"/>
          <w:color w:val="000000"/>
          <w:szCs w:val="24"/>
          <w:lang w:eastAsia="ru-RU"/>
        </w:rPr>
        <w:t>ачертит</w:t>
      </w:r>
      <w:r w:rsidRPr="00646DA6">
        <w:rPr>
          <w:rFonts w:ascii="Arial" w:eastAsia="Times New Roman" w:hAnsi="Arial" w:cs="Arial"/>
          <w:color w:val="000000"/>
          <w:szCs w:val="24"/>
          <w:lang w:eastAsia="ru-RU"/>
        </w:rPr>
        <w:t>е на доске таблицу.</w:t>
      </w:r>
    </w:p>
    <w:p w:rsidR="00646DA6" w:rsidRPr="00646DA6" w:rsidRDefault="00646DA6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3345"/>
        <w:gridCol w:w="3346"/>
        <w:gridCol w:w="3447"/>
      </w:tblGrid>
      <w:tr w:rsidR="000D0155" w:rsidRPr="000D0155" w:rsidTr="00F7417F">
        <w:tc>
          <w:tcPr>
            <w:tcW w:w="1650" w:type="pct"/>
            <w:hideMark/>
          </w:tcPr>
          <w:p w:rsidR="000D0155" w:rsidRPr="000D0155" w:rsidRDefault="000D0155" w:rsidP="000D015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или название экипажа</w:t>
            </w:r>
          </w:p>
        </w:tc>
        <w:tc>
          <w:tcPr>
            <w:tcW w:w="1650" w:type="pct"/>
            <w:hideMark/>
          </w:tcPr>
          <w:p w:rsidR="000D0155" w:rsidRPr="000D0155" w:rsidRDefault="000D0155" w:rsidP="000D015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ошибка</w:t>
            </w:r>
          </w:p>
        </w:tc>
        <w:tc>
          <w:tcPr>
            <w:tcW w:w="1700" w:type="pct"/>
            <w:hideMark/>
          </w:tcPr>
          <w:p w:rsidR="000D0155" w:rsidRPr="000D0155" w:rsidRDefault="000D0155" w:rsidP="000D015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ошибки членов экипажа</w:t>
            </w:r>
          </w:p>
        </w:tc>
      </w:tr>
      <w:tr w:rsidR="00646DA6" w:rsidRPr="000D0155" w:rsidTr="00F7417F">
        <w:tc>
          <w:tcPr>
            <w:tcW w:w="1650" w:type="pct"/>
            <w:hideMark/>
          </w:tcPr>
          <w:p w:rsidR="00646DA6" w:rsidRPr="000D0155" w:rsidRDefault="00646DA6" w:rsidP="000D015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646DA6" w:rsidRPr="000D0155" w:rsidRDefault="00646DA6" w:rsidP="000D015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646DA6" w:rsidRPr="000D0155" w:rsidRDefault="00646DA6" w:rsidP="000D015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6DA6" w:rsidRDefault="00646DA6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DA6" w:rsidRPr="00F7417F" w:rsidRDefault="00646DA6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Заполните таблицу 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>с учетом полученных каждым экипажем в ходе работы дополнительных и штрафных очков.</w:t>
      </w:r>
    </w:p>
    <w:p w:rsidR="000D0155" w:rsidRPr="00F7417F" w:rsidRDefault="00646DA6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>ров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едите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анализ работы групп и наз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овите победителя. Учитывайте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не только кол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ичественные результаты, но проведите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и качественный анализ. Например, если индивидуальная ошибка одного из члено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в экипажа меньше групповой, то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он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не смог отстоять свою точку зрения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и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группа не помогла ему. 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Э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кипаж не использовал свой 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внутренний потенциал, не смог 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>организовать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коллективную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работ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0D0155" w:rsidRPr="00F7417F" w:rsidRDefault="00646DA6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Если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>, например, наилучший результат члена экипажа хуже, чем в других группах, то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изначальный потенциал группы или ее отдельных членов ниже, чем в других группах. 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>руппа сумела организоваться и достаточно успешно сп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равилась с поставленной задачей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в том случае, если групповая ошибка меньше </w:t>
      </w:r>
      <w:proofErr w:type="gramStart"/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>индивидуальных</w:t>
      </w:r>
      <w:proofErr w:type="gramEnd"/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Обсудите</w:t>
      </w:r>
      <w:r w:rsidR="000D0155"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процесс принятия решения в группе.</w:t>
      </w:r>
    </w:p>
    <w:p w:rsidR="000D0155" w:rsidRPr="00F7417F" w:rsidRDefault="000D0155" w:rsidP="00646DA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>Лучш</w:t>
      </w:r>
      <w:r w:rsidR="00F7417F" w:rsidRPr="00F7417F">
        <w:rPr>
          <w:rFonts w:ascii="Arial" w:eastAsia="Times New Roman" w:hAnsi="Arial" w:cs="Arial"/>
          <w:color w:val="000000"/>
          <w:szCs w:val="24"/>
          <w:lang w:eastAsia="ru-RU"/>
        </w:rPr>
        <w:t>ую команду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награ</w:t>
      </w:r>
      <w:r w:rsidR="00F7417F" w:rsidRPr="00F7417F">
        <w:rPr>
          <w:rFonts w:ascii="Arial" w:eastAsia="Times New Roman" w:hAnsi="Arial" w:cs="Arial"/>
          <w:color w:val="000000"/>
          <w:szCs w:val="24"/>
          <w:lang w:eastAsia="ru-RU"/>
        </w:rPr>
        <w:t>дите</w:t>
      </w:r>
      <w:r w:rsidRPr="00F7417F">
        <w:rPr>
          <w:rFonts w:ascii="Arial" w:eastAsia="Times New Roman" w:hAnsi="Arial" w:cs="Arial"/>
          <w:color w:val="000000"/>
          <w:szCs w:val="24"/>
          <w:lang w:eastAsia="ru-RU"/>
        </w:rPr>
        <w:t xml:space="preserve"> поощрительным призом.</w:t>
      </w:r>
    </w:p>
    <w:p w:rsidR="00F7417F" w:rsidRDefault="00F7417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0D0155" w:rsidRPr="00F7417F" w:rsidRDefault="000D0155" w:rsidP="00F7417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lastRenderedPageBreak/>
        <w:t xml:space="preserve">Протокол игры </w:t>
      </w:r>
      <w:r w:rsid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«</w:t>
      </w:r>
      <w:r w:rsidRP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Кораблекрушение на Луне</w:t>
      </w:r>
      <w:r w:rsid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»</w:t>
      </w:r>
    </w:p>
    <w:tbl>
      <w:tblPr>
        <w:tblStyle w:val="a5"/>
        <w:tblW w:w="5087" w:type="pct"/>
        <w:tblInd w:w="-176" w:type="dxa"/>
        <w:tblLook w:val="04A0"/>
      </w:tblPr>
      <w:tblGrid>
        <w:gridCol w:w="2800"/>
        <w:gridCol w:w="2267"/>
        <w:gridCol w:w="2267"/>
        <w:gridCol w:w="1490"/>
        <w:gridCol w:w="1490"/>
      </w:tblGrid>
      <w:tr w:rsidR="000D0155" w:rsidRPr="00F7417F" w:rsidTr="00F7417F">
        <w:tc>
          <w:tcPr>
            <w:tcW w:w="1357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Список предметов</w:t>
            </w:r>
          </w:p>
        </w:tc>
        <w:tc>
          <w:tcPr>
            <w:tcW w:w="109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Индивидуальная оценка</w:t>
            </w:r>
          </w:p>
        </w:tc>
        <w:tc>
          <w:tcPr>
            <w:tcW w:w="109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Индивидуальная ошибка</w:t>
            </w:r>
          </w:p>
        </w:tc>
        <w:tc>
          <w:tcPr>
            <w:tcW w:w="722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Групповая оценка</w:t>
            </w:r>
          </w:p>
        </w:tc>
        <w:tc>
          <w:tcPr>
            <w:tcW w:w="722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Групповая ошибка</w:t>
            </w:r>
          </w:p>
        </w:tc>
      </w:tr>
      <w:tr w:rsidR="000D0155" w:rsidRPr="000D0155" w:rsidTr="00F7417F">
        <w:tc>
          <w:tcPr>
            <w:tcW w:w="1357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Коробок спичек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Пищевые концентраты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 нейлонового шнура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Шелковый купол парашюта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Переносной обогреватель на солнечных батареях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Коробка сухого молока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баллона с кислородом по 30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Звездная карта лунного небосклона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Самонадувающаяся</w:t>
            </w:r>
            <w:proofErr w:type="spellEnd"/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спасательная лодка 10.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Магнитный компас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л воды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Сигнальные ракеты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Аптечка первой помощи с инъекционными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иглами</w:t>
            </w:r>
          </w:p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  <w:r w:rsidR="00F74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Приемопередатчик на солнечных батареях с частотной модуляцией</w:t>
            </w:r>
          </w:p>
        </w:tc>
        <w:tc>
          <w:tcPr>
            <w:tcW w:w="1099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0155" w:rsidRPr="000D0155" w:rsidTr="00F7417F">
        <w:tc>
          <w:tcPr>
            <w:tcW w:w="1357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hideMark/>
          </w:tcPr>
          <w:p w:rsidR="000D0155" w:rsidRPr="000D0155" w:rsidRDefault="000D0155" w:rsidP="000D015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1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D0155" w:rsidRPr="000D0155" w:rsidRDefault="000D0155" w:rsidP="000D015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0155" w:rsidRPr="00F7417F" w:rsidRDefault="000D0155" w:rsidP="00F7417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lastRenderedPageBreak/>
        <w:t>Правильное решение п</w:t>
      </w:r>
      <w:r w:rsidR="00F7417F" w:rsidRP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роблемы кораблекрушения на Луне </w:t>
      </w:r>
      <w:r w:rsid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br/>
      </w:r>
      <w:r w:rsidR="00F7417F" w:rsidRP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(решение Центра</w:t>
      </w:r>
      <w:r w:rsidRPr="00F7417F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)</w:t>
      </w:r>
    </w:p>
    <w:tbl>
      <w:tblPr>
        <w:tblStyle w:val="a5"/>
        <w:tblW w:w="5000" w:type="pct"/>
        <w:tblLayout w:type="fixed"/>
        <w:tblLook w:val="04A0"/>
      </w:tblPr>
      <w:tblGrid>
        <w:gridCol w:w="3652"/>
        <w:gridCol w:w="1843"/>
        <w:gridCol w:w="4643"/>
      </w:tblGrid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b/>
                <w:szCs w:val="24"/>
                <w:lang w:eastAsia="ru-RU"/>
              </w:rPr>
              <w:t>Список предметов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b/>
                <w:szCs w:val="24"/>
                <w:lang w:eastAsia="ru-RU"/>
              </w:rPr>
              <w:t>Правильный номер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b/>
                <w:szCs w:val="24"/>
                <w:lang w:eastAsia="ru-RU"/>
              </w:rPr>
              <w:t>Пояснения специалистов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Коробок спичек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14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На Луне нет кислорода, который необходим при горении. Спички совершенно не нужны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Пищевые концентраты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Эффективное средство для поддержания необходимой энергии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20 м нейлонового шнура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Может быть использован для преодоления скал и переноски раненых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4.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Шелковый купол парашюта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Может защитить от солнечных лучей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5.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Переносной обогреватель на солнечных батареях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Не </w:t>
            </w:r>
            <w:proofErr w:type="gramStart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нужен</w:t>
            </w:r>
            <w:proofErr w:type="gramEnd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на солнечной стороне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6.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Коробка сухого молока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Более громоздкая замена пищевых концентратов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7.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Два баллона с кислородом по 30 кг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Самое</w:t>
            </w:r>
            <w:proofErr w:type="gramEnd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необходимое для поддержания жизни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8.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Звездная карта лунного небосклона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Необходима</w:t>
            </w:r>
            <w:proofErr w:type="gramEnd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при навигации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9.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Самонадувающаяся</w:t>
            </w:r>
            <w:proofErr w:type="spellEnd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спасательная лодка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Баллоны с СО</w:t>
            </w:r>
            <w:proofErr w:type="gramStart"/>
            <w:r w:rsidRPr="00F7417F"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  <w:t>2</w:t>
            </w:r>
            <w:proofErr w:type="gramEnd"/>
            <w:r w:rsid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можно использовать в 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качестве привода для двигателя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10.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Магнитный компас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13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Магнитное поле на Луне не поляризовано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>,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поэтому компас в данном случае не нужен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11.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25 л воды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Для возмещения потерь влаги в организме на освещенной стороне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12.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Сигнальные ракеты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Аварийные сигналы будут необходимы при приближении к станции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13.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2290" w:type="pct"/>
            <w:hideMark/>
          </w:tcPr>
          <w:p w:rsidR="00F7417F" w:rsidRPr="00F7417F" w:rsidRDefault="000D0155" w:rsidP="00F7417F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Иглы для впрыскивания витаминов, лекарств и т.п. подходят </w:t>
            </w:r>
            <w:proofErr w:type="gramStart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для</w:t>
            </w:r>
            <w:proofErr w:type="gramEnd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gramStart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спец</w:t>
            </w:r>
            <w:proofErr w:type="gramEnd"/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. устройств в скафандрах</w:t>
            </w:r>
          </w:p>
        </w:tc>
      </w:tr>
      <w:tr w:rsidR="000D0155" w:rsidRPr="00F7417F" w:rsidTr="00F7417F">
        <w:tc>
          <w:tcPr>
            <w:tcW w:w="1801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14.</w:t>
            </w:r>
            <w:r w:rsidR="00F7417F" w:rsidRPr="00F7417F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Приемопередатчик на солнечных батареях с частотной модуляцией</w:t>
            </w:r>
          </w:p>
        </w:tc>
        <w:tc>
          <w:tcPr>
            <w:tcW w:w="909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2290" w:type="pct"/>
            <w:hideMark/>
          </w:tcPr>
          <w:p w:rsidR="000D0155" w:rsidRPr="00F7417F" w:rsidRDefault="000D0155" w:rsidP="000D0155">
            <w:pPr>
              <w:spacing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Дл</w:t>
            </w:r>
            <w:r w:rsidR="00F7417F">
              <w:rPr>
                <w:rFonts w:ascii="Arial" w:eastAsia="Times New Roman" w:hAnsi="Arial" w:cs="Arial"/>
                <w:szCs w:val="24"/>
                <w:lang w:eastAsia="ru-RU"/>
              </w:rPr>
              <w:t>я связи со станцией, приемник с </w:t>
            </w:r>
            <w:r w:rsidRPr="00F7417F">
              <w:rPr>
                <w:rFonts w:ascii="Arial" w:eastAsia="Times New Roman" w:hAnsi="Arial" w:cs="Arial"/>
                <w:szCs w:val="24"/>
                <w:lang w:eastAsia="ru-RU"/>
              </w:rPr>
              <w:t>частотной модуляцией применим только на небольших расстояниях</w:t>
            </w:r>
          </w:p>
        </w:tc>
      </w:tr>
    </w:tbl>
    <w:p w:rsidR="00004826" w:rsidRPr="000D0155" w:rsidRDefault="00004826" w:rsidP="000D015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04826" w:rsidRPr="000D0155" w:rsidSect="000D01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55"/>
    <w:rsid w:val="00004826"/>
    <w:rsid w:val="000D0155"/>
    <w:rsid w:val="000E228E"/>
    <w:rsid w:val="00646DA6"/>
    <w:rsid w:val="00A01329"/>
    <w:rsid w:val="00AD7F0F"/>
    <w:rsid w:val="00AF382D"/>
    <w:rsid w:val="00B9365A"/>
    <w:rsid w:val="00E21A59"/>
    <w:rsid w:val="00F7417F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55"/>
    <w:rPr>
      <w:b/>
      <w:bCs/>
    </w:rPr>
  </w:style>
  <w:style w:type="table" w:styleId="a5">
    <w:name w:val="Table Grid"/>
    <w:basedOn w:val="a1"/>
    <w:uiPriority w:val="59"/>
    <w:rsid w:val="000D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korobkina</dc:creator>
  <cp:lastModifiedBy>ekostina</cp:lastModifiedBy>
  <cp:revision>2</cp:revision>
  <dcterms:created xsi:type="dcterms:W3CDTF">2018-02-16T15:37:00Z</dcterms:created>
  <dcterms:modified xsi:type="dcterms:W3CDTF">2018-02-16T15:37:00Z</dcterms:modified>
</cp:coreProperties>
</file>